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14BE" w14:textId="77777777" w:rsidR="0006608F" w:rsidRDefault="0006608F" w:rsidP="0006608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UW-GREEN BAY RESEARCH COUNCIL</w:t>
      </w:r>
    </w:p>
    <w:p w14:paraId="2CA49CC9" w14:textId="61D7941D" w:rsidR="0006608F" w:rsidRPr="007B623D" w:rsidRDefault="0006608F" w:rsidP="0006608F">
      <w:pPr>
        <w:jc w:val="center"/>
        <w:rPr>
          <w:rFonts w:ascii="Times New Roman" w:hAnsi="Times New Roman" w:cs="Times New Roman"/>
        </w:rPr>
      </w:pPr>
      <w:r w:rsidRPr="007B623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A4ABB" w:rsidRPr="007B62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23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81026" w:rsidRPr="007B6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23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A4ABB" w:rsidRPr="007B62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623D">
        <w:rPr>
          <w:rFonts w:ascii="Times New Roman" w:eastAsia="Times New Roman" w:hAnsi="Times New Roman" w:cs="Times New Roman"/>
          <w:sz w:val="28"/>
          <w:szCs w:val="28"/>
        </w:rPr>
        <w:t xml:space="preserve"> Call for Proposals</w:t>
      </w:r>
    </w:p>
    <w:p w14:paraId="421F83BE" w14:textId="77777777" w:rsidR="0006608F" w:rsidRPr="007B623D" w:rsidRDefault="0006608F" w:rsidP="0006608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B6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Research Enhancement Program: PRESENTATIONS</w:t>
      </w:r>
    </w:p>
    <w:p w14:paraId="4E0DD6C1" w14:textId="77777777" w:rsidR="0006608F" w:rsidRPr="007B623D" w:rsidRDefault="0006608F" w:rsidP="0006608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F495F0" w14:textId="77777777" w:rsidR="0006608F" w:rsidRPr="007B623D" w:rsidRDefault="0006608F" w:rsidP="0006608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28DA46" w14:textId="3FDC991D" w:rsidR="0006608F" w:rsidRPr="007B623D" w:rsidRDefault="0006608F" w:rsidP="0006608F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7B623D">
        <w:rPr>
          <w:rFonts w:ascii="Times New Roman" w:eastAsia="Times New Roman" w:hAnsi="Times New Roman" w:cs="Times New Roman"/>
          <w:b/>
          <w:bCs/>
        </w:rPr>
        <w:t>Applications due</w:t>
      </w:r>
      <w:r w:rsidR="00680C8D" w:rsidRPr="007B623D">
        <w:rPr>
          <w:rFonts w:ascii="Times New Roman" w:eastAsia="Times New Roman" w:hAnsi="Times New Roman" w:cs="Times New Roman"/>
          <w:b/>
          <w:bCs/>
        </w:rPr>
        <w:t xml:space="preserve"> by 11:59 p.m.</w:t>
      </w:r>
      <w:r w:rsidRPr="007B623D">
        <w:rPr>
          <w:rFonts w:ascii="Times New Roman" w:eastAsia="Times New Roman" w:hAnsi="Times New Roman" w:cs="Times New Roman"/>
          <w:b/>
          <w:bCs/>
        </w:rPr>
        <w:t xml:space="preserve">:  </w:t>
      </w:r>
      <w:r w:rsidR="00680C8D" w:rsidRPr="007B623D">
        <w:rPr>
          <w:rFonts w:ascii="Times New Roman" w:eastAsia="Times New Roman" w:hAnsi="Times New Roman" w:cs="Times New Roman"/>
          <w:b/>
          <w:bCs/>
        </w:rPr>
        <w:t xml:space="preserve">Monday, </w:t>
      </w:r>
      <w:r w:rsidR="00205774">
        <w:rPr>
          <w:rFonts w:ascii="Times New Roman" w:eastAsia="Times New Roman" w:hAnsi="Times New Roman" w:cs="Times New Roman"/>
          <w:b/>
          <w:bCs/>
        </w:rPr>
        <w:t>January</w:t>
      </w:r>
      <w:r w:rsidR="00CA4ABB" w:rsidRPr="007B623D">
        <w:rPr>
          <w:rFonts w:ascii="Times New Roman" w:eastAsia="Times New Roman" w:hAnsi="Times New Roman" w:cs="Times New Roman"/>
          <w:b/>
          <w:bCs/>
        </w:rPr>
        <w:t xml:space="preserve"> </w:t>
      </w:r>
      <w:r w:rsidR="00205774">
        <w:rPr>
          <w:rFonts w:ascii="Times New Roman" w:eastAsia="Times New Roman" w:hAnsi="Times New Roman" w:cs="Times New Roman"/>
          <w:b/>
          <w:bCs/>
        </w:rPr>
        <w:t>20</w:t>
      </w:r>
      <w:r w:rsidRPr="007B623D">
        <w:rPr>
          <w:rFonts w:ascii="Times New Roman" w:eastAsia="Times New Roman" w:hAnsi="Times New Roman" w:cs="Times New Roman"/>
          <w:b/>
          <w:bCs/>
        </w:rPr>
        <w:t>, 202</w:t>
      </w:r>
      <w:r w:rsidR="00205774">
        <w:rPr>
          <w:rFonts w:ascii="Times New Roman" w:eastAsia="Times New Roman" w:hAnsi="Times New Roman" w:cs="Times New Roman"/>
          <w:b/>
          <w:bCs/>
        </w:rPr>
        <w:t>5</w:t>
      </w:r>
      <w:r w:rsidRPr="007B623D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14:paraId="0F4A9137" w14:textId="567F700A" w:rsidR="0006608F" w:rsidRPr="007B623D" w:rsidRDefault="0006608F" w:rsidP="0006608F">
      <w:pPr>
        <w:spacing w:after="0" w:line="360" w:lineRule="auto"/>
        <w:rPr>
          <w:rFonts w:ascii="Times New Roman" w:eastAsia="Times New Roman" w:hAnsi="Times New Roman" w:cs="Times New Roman"/>
          <w:b/>
          <w:bCs/>
          <w:highlight w:val="yellow"/>
        </w:rPr>
      </w:pPr>
      <w:r w:rsidRPr="007B623D">
        <w:rPr>
          <w:rFonts w:ascii="Times New Roman" w:eastAsia="Times New Roman" w:hAnsi="Times New Roman" w:cs="Times New Roman"/>
          <w:b/>
          <w:bCs/>
        </w:rPr>
        <w:t>Activity window:</w:t>
      </w:r>
      <w:r w:rsidR="00205774">
        <w:rPr>
          <w:rFonts w:ascii="Times New Roman" w:eastAsia="Times New Roman" w:hAnsi="Times New Roman" w:cs="Times New Roman"/>
          <w:b/>
          <w:bCs/>
        </w:rPr>
        <w:t xml:space="preserve"> January</w:t>
      </w:r>
      <w:r w:rsidR="00680C8D" w:rsidRPr="007B623D">
        <w:rPr>
          <w:rFonts w:ascii="Times New Roman" w:eastAsia="Times New Roman" w:hAnsi="Times New Roman" w:cs="Times New Roman"/>
          <w:b/>
          <w:bCs/>
        </w:rPr>
        <w:t xml:space="preserve"> </w:t>
      </w:r>
      <w:r w:rsidR="00205774">
        <w:rPr>
          <w:rFonts w:ascii="Times New Roman" w:eastAsia="Times New Roman" w:hAnsi="Times New Roman" w:cs="Times New Roman"/>
          <w:b/>
          <w:bCs/>
        </w:rPr>
        <w:t>20</w:t>
      </w:r>
      <w:r w:rsidRPr="007B623D">
        <w:rPr>
          <w:rFonts w:ascii="Times New Roman" w:eastAsia="Times New Roman" w:hAnsi="Times New Roman" w:cs="Times New Roman"/>
          <w:b/>
          <w:bCs/>
        </w:rPr>
        <w:t>-</w:t>
      </w:r>
      <w:r w:rsidR="00205774">
        <w:rPr>
          <w:rFonts w:ascii="Times New Roman" w:eastAsia="Times New Roman" w:hAnsi="Times New Roman" w:cs="Times New Roman"/>
          <w:b/>
          <w:bCs/>
        </w:rPr>
        <w:t>June</w:t>
      </w:r>
      <w:r w:rsidR="001F32C3">
        <w:rPr>
          <w:rFonts w:ascii="Times New Roman" w:eastAsia="Times New Roman" w:hAnsi="Times New Roman" w:cs="Times New Roman"/>
          <w:b/>
          <w:bCs/>
        </w:rPr>
        <w:t xml:space="preserve"> 15</w:t>
      </w:r>
      <w:r w:rsidR="00600E70">
        <w:rPr>
          <w:rFonts w:ascii="Times New Roman" w:eastAsia="Times New Roman" w:hAnsi="Times New Roman" w:cs="Times New Roman"/>
          <w:b/>
          <w:bCs/>
        </w:rPr>
        <w:t>,</w:t>
      </w:r>
      <w:r w:rsidRPr="007B623D">
        <w:rPr>
          <w:rFonts w:ascii="Times New Roman" w:eastAsia="Times New Roman" w:hAnsi="Times New Roman" w:cs="Times New Roman"/>
          <w:b/>
          <w:bCs/>
        </w:rPr>
        <w:t xml:space="preserve"> 202</w:t>
      </w:r>
      <w:r w:rsidR="00CA4ABB" w:rsidRPr="007B623D">
        <w:rPr>
          <w:rFonts w:ascii="Times New Roman" w:eastAsia="Times New Roman" w:hAnsi="Times New Roman" w:cs="Times New Roman"/>
          <w:b/>
          <w:bCs/>
        </w:rPr>
        <w:t>5</w:t>
      </w:r>
    </w:p>
    <w:p w14:paraId="3AB1A008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4B551D76" w14:textId="39128320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The Research Council invites members of the University of Wisconsin-Green Bay faculty to submit proposals for 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CA4ABB" w:rsidRPr="007B623D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-202</w:t>
      </w:r>
      <w:r w:rsidR="00CA4ABB" w:rsidRPr="007B623D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>Research Enhancement Program.</w:t>
      </w:r>
      <w:r w:rsidRPr="007B623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This program aims to provide a significant amount of support for faculty Research, Scholarly and Creative Activity on all UWGB campuses. The program has two </w:t>
      </w:r>
      <w:r w:rsidR="00BF520C">
        <w:rPr>
          <w:rFonts w:ascii="Times New Roman" w:eastAsia="Times New Roman" w:hAnsi="Times New Roman" w:cs="Times New Roman"/>
          <w:sz w:val="23"/>
          <w:szCs w:val="23"/>
        </w:rPr>
        <w:t>tracks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, Presentation</w:t>
      </w:r>
      <w:r w:rsidR="00BF520C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7D30">
        <w:rPr>
          <w:rFonts w:ascii="Times New Roman" w:eastAsia="Times New Roman" w:hAnsi="Times New Roman" w:cs="Times New Roman"/>
          <w:sz w:val="23"/>
          <w:szCs w:val="23"/>
        </w:rPr>
        <w:t>(this call)</w:t>
      </w:r>
      <w:r w:rsidR="00BF52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and Projects </w:t>
      </w:r>
      <w:r w:rsidR="00587D30">
        <w:rPr>
          <w:rFonts w:ascii="Times New Roman" w:eastAsia="Times New Roman" w:hAnsi="Times New Roman" w:cs="Times New Roman"/>
          <w:sz w:val="23"/>
          <w:szCs w:val="23"/>
        </w:rPr>
        <w:t xml:space="preserve">(a </w:t>
      </w:r>
      <w:r w:rsidR="00BF520C">
        <w:rPr>
          <w:rFonts w:ascii="Times New Roman" w:eastAsia="Times New Roman" w:hAnsi="Times New Roman" w:cs="Times New Roman"/>
          <w:sz w:val="23"/>
          <w:szCs w:val="23"/>
        </w:rPr>
        <w:t xml:space="preserve">separate </w:t>
      </w:r>
      <w:r w:rsidR="00587D30">
        <w:rPr>
          <w:rFonts w:ascii="Times New Roman" w:eastAsia="Times New Roman" w:hAnsi="Times New Roman" w:cs="Times New Roman"/>
          <w:sz w:val="23"/>
          <w:szCs w:val="23"/>
        </w:rPr>
        <w:t>call)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B580772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1B225025" w14:textId="50845442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>Funds for</w:t>
      </w:r>
      <w:r w:rsidR="00BF520C" w:rsidRPr="00A50E39"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Research Enhancement Program: Presentations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track must be used in support of </w:t>
      </w:r>
      <w:r w:rsidR="00BF464D" w:rsidRPr="007B623D">
        <w:rPr>
          <w:rFonts w:ascii="Times New Roman" w:eastAsia="Times New Roman" w:hAnsi="Times New Roman" w:cs="Times New Roman"/>
          <w:sz w:val="23"/>
          <w:szCs w:val="23"/>
        </w:rPr>
        <w:t xml:space="preserve">travel for </w:t>
      </w:r>
      <w:r w:rsidRPr="007B623D">
        <w:rPr>
          <w:rFonts w:ascii="Times New Roman" w:eastAsia="Times New Roman" w:hAnsi="Times New Roman" w:cs="Times New Roman"/>
          <w:sz w:val="23"/>
          <w:szCs w:val="23"/>
          <w:u w:val="single"/>
        </w:rPr>
        <w:t>the presentation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of faculty research, scholarly and creative activity. The number of applications received and the amount of funding available for distribution will determine the number of awards that can be made. </w:t>
      </w:r>
    </w:p>
    <w:p w14:paraId="0E6969F8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</w:rPr>
      </w:pPr>
    </w:p>
    <w:p w14:paraId="7D13105A" w14:textId="79D5460D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</w:rPr>
        <w:t>Proposals may include travel r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equests for up to </w:t>
      </w:r>
      <w:r w:rsidRPr="007B623D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$1,100 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for </w:t>
      </w:r>
      <w:r w:rsidRPr="007B623D">
        <w:rPr>
          <w:rFonts w:ascii="Times New Roman" w:eastAsia="Times New Roman" w:hAnsi="Times New Roman" w:cs="Times New Roman"/>
          <w:sz w:val="23"/>
          <w:szCs w:val="23"/>
          <w:u w:val="single"/>
        </w:rPr>
        <w:t>domestic and $1,500 international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travel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for presentation of faculty research including conference presentations, exhibitions, performances, invitational lectures/workshops, and related expenses. Faculty and student stipends are not allowable expenses under this grant. Travel for field work, research, data collection or other non-presentation research related activity should be requested in the </w:t>
      </w:r>
      <w:r w:rsidRPr="007B623D">
        <w:rPr>
          <w:rFonts w:ascii="Times New Roman" w:eastAsia="Times New Roman" w:hAnsi="Times New Roman" w:cs="Times New Roman"/>
          <w:i/>
          <w:iCs/>
          <w:sz w:val="23"/>
          <w:szCs w:val="23"/>
        </w:rPr>
        <w:t>Research Enhancement Program: Projects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track.</w:t>
      </w:r>
    </w:p>
    <w:p w14:paraId="5F6754EA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14:paraId="1A31778B" w14:textId="34967E01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Anyone with faculty status at UWGB is eligible to apply for the Research Enhancement Program.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While all proposals will be considered, preference will be given to tenure-track and tenured faculty, and those who have not previously been funded by this or the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 former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G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rant </w:t>
      </w:r>
      <w:proofErr w:type="gramStart"/>
      <w:r w:rsidRPr="007B623D">
        <w:rPr>
          <w:rFonts w:ascii="Times New Roman" w:eastAsia="Times New Roman" w:hAnsi="Times New Roman" w:cs="Times New Roman"/>
          <w:sz w:val="23"/>
          <w:szCs w:val="23"/>
        </w:rPr>
        <w:t>I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gramEnd"/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A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id of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R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>esearch (GIAR)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 program. Applicants must disclose other sources of funding that are anticipated to also support this activity. While previous funding from Research Council programs will be a factor when making funding decisions, it will not preclude someone from 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applying or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getting funded. </w:t>
      </w:r>
      <w:r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All eligible applications will be considered and first-time applicants are particularly encouraged! </w:t>
      </w:r>
    </w:p>
    <w:p w14:paraId="76C3BD80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hAnsi="Times New Roman" w:cs="Times New Roman"/>
        </w:rPr>
        <w:br/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The following are examples of eligible expenses:</w:t>
      </w:r>
    </w:p>
    <w:p w14:paraId="4E49C592" w14:textId="77777777" w:rsidR="0006608F" w:rsidRPr="007B623D" w:rsidRDefault="0006608F" w:rsidP="00066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>Travel associated with presentation</w:t>
      </w:r>
    </w:p>
    <w:p w14:paraId="7F2D456E" w14:textId="4CD9A708" w:rsidR="0006608F" w:rsidRPr="007B623D" w:rsidRDefault="0006608F" w:rsidP="00066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>Fabrication/shipping expenses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 associated with presentations, exhibits, performances, etc.</w:t>
      </w:r>
    </w:p>
    <w:p w14:paraId="30278D8F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786E6EA7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>Applicant Requirements:</w:t>
      </w:r>
    </w:p>
    <w:p w14:paraId="3F97F65A" w14:textId="77777777" w:rsidR="0006608F" w:rsidRPr="007B623D" w:rsidRDefault="0006608F" w:rsidP="0006608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Applicant has faculty status </w:t>
      </w:r>
    </w:p>
    <w:p w14:paraId="43D2B3EF" w14:textId="060B4D65" w:rsidR="0006608F" w:rsidRPr="007B623D" w:rsidRDefault="0006608F" w:rsidP="0006608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Proof of acceptance/invitation </w:t>
      </w:r>
      <w:r w:rsidR="00680C8D" w:rsidRPr="007B623D">
        <w:rPr>
          <w:rFonts w:ascii="Times New Roman" w:eastAsia="Times New Roman" w:hAnsi="Times New Roman" w:cs="Times New Roman"/>
          <w:sz w:val="23"/>
          <w:szCs w:val="23"/>
        </w:rPr>
        <w:t xml:space="preserve">of presentation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>must be provided by the next proposal deadline to receive a final award letter</w:t>
      </w:r>
    </w:p>
    <w:p w14:paraId="054DBE7B" w14:textId="77E57099" w:rsidR="0006608F" w:rsidRPr="007B623D" w:rsidRDefault="0006608F" w:rsidP="0006608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>Only presentations taking place during the a</w:t>
      </w:r>
      <w:r w:rsidR="0071171F">
        <w:rPr>
          <w:rFonts w:ascii="Times New Roman" w:eastAsia="Times New Roman" w:hAnsi="Times New Roman" w:cs="Times New Roman"/>
          <w:b/>
          <w:bCs/>
          <w:sz w:val="23"/>
          <w:szCs w:val="23"/>
        </w:rPr>
        <w:t>ctivity</w:t>
      </w:r>
      <w:r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window will be consider</w:t>
      </w:r>
      <w:r w:rsidR="00A2571F"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>ed</w:t>
      </w:r>
      <w:r w:rsidRPr="007B623D">
        <w:rPr>
          <w:rFonts w:ascii="Times New Roman" w:eastAsia="Times New Roman" w:hAnsi="Times New Roman" w:cs="Times New Roman"/>
          <w:b/>
          <w:bCs/>
          <w:sz w:val="23"/>
          <w:szCs w:val="23"/>
        </w:rPr>
        <w:t>; past expenses will not be funded.</w:t>
      </w:r>
    </w:p>
    <w:p w14:paraId="12912251" w14:textId="77777777" w:rsidR="0006608F" w:rsidRPr="007B623D" w:rsidRDefault="0006608F" w:rsidP="0006608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</w:t>
      </w:r>
    </w:p>
    <w:p w14:paraId="64DE48A7" w14:textId="77777777" w:rsidR="0006608F" w:rsidRPr="007B623D" w:rsidRDefault="0006608F" w:rsidP="0006608F">
      <w:pPr>
        <w:spacing w:after="0"/>
        <w:rPr>
          <w:rFonts w:ascii="Times New Roman" w:hAnsi="Times New Roman" w:cs="Times New Roman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Proposals must include: </w:t>
      </w:r>
    </w:p>
    <w:p w14:paraId="3E961698" w14:textId="77777777" w:rsidR="0006608F" w:rsidRPr="007B623D" w:rsidRDefault="0006608F" w:rsidP="0006608F">
      <w:pPr>
        <w:spacing w:after="0"/>
        <w:ind w:left="720" w:hanging="360"/>
        <w:rPr>
          <w:rFonts w:ascii="Times New Roman" w:hAnsi="Times New Roman" w:cs="Times New Roman"/>
        </w:rPr>
      </w:pPr>
      <w:r w:rsidRPr="007B623D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7B623D">
        <w:rPr>
          <w:rFonts w:ascii="Times New Roman" w:eastAsia="Times New Roman" w:hAnsi="Times New Roman" w:cs="Times New Roman"/>
          <w:sz w:val="23"/>
          <w:szCs w:val="23"/>
        </w:rPr>
        <w:tab/>
        <w:t>A double-spaced narrative (page limit: 3) stating the significance of the presentation to the faculty member’s program of research, including a rationale of the need for the proposed activity.</w:t>
      </w:r>
    </w:p>
    <w:p w14:paraId="1EED9C96" w14:textId="77777777" w:rsidR="0006608F" w:rsidRDefault="0006608F" w:rsidP="0006608F">
      <w:pPr>
        <w:spacing w:after="0"/>
        <w:ind w:left="720" w:hanging="360"/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ab/>
        <w:t>An itemized budget and detailed budget narrative (page limit: 1) using the template provided at</w:t>
      </w:r>
      <w:r>
        <w:t xml:space="preserve"> </w:t>
      </w:r>
      <w:hyperlink r:id="rId5" w:history="1">
        <w:r>
          <w:rPr>
            <w:rStyle w:val="Hyperlink"/>
          </w:rPr>
          <w:t>https://www.uwgb.edu/research-council/funding-opportunities/research-pilot-program/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All expenses should follow campus purchasing and travel policies found at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https://www.uwgb.edu/purchasing/policies-procedures/</w:t>
        </w:r>
      </w:hyperlink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www.uwgb.edu/controller/travel</w:t>
        </w:r>
      </w:hyperlink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14:paraId="1C9CF864" w14:textId="77777777" w:rsidR="0006608F" w:rsidRDefault="0006608F" w:rsidP="0006608F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ab/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vitae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(page limit: 2) limited to relevant scholarly work.</w:t>
      </w:r>
    </w:p>
    <w:p w14:paraId="4CF1DC42" w14:textId="6F4A110B" w:rsidR="0006608F" w:rsidRDefault="0006608F" w:rsidP="0006608F">
      <w:pPr>
        <w:spacing w:after="0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  <w:t>An abstract from your presentation proposal.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B623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Proof of acceptance/invitation must be provided before the next call deadline to receive a final award letter.</w:t>
      </w:r>
    </w:p>
    <w:p w14:paraId="759BB833" w14:textId="77777777" w:rsidR="0006608F" w:rsidRDefault="0006608F" w:rsidP="0006608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F66FC4" w14:textId="77777777" w:rsidR="0006608F" w:rsidRDefault="0006608F" w:rsidP="0006608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Proposals will be evaluated based on these criteria: </w:t>
      </w:r>
    </w:p>
    <w:p w14:paraId="7CC8EC3A" w14:textId="77777777" w:rsidR="002E3F78" w:rsidRPr="002E3F78" w:rsidRDefault="002E3F78" w:rsidP="002E3F78">
      <w:pPr>
        <w:numPr>
          <w:ilvl w:val="0"/>
          <w:numId w:val="3"/>
        </w:numPr>
        <w:spacing w:after="0" w:line="252" w:lineRule="auto"/>
      </w:pPr>
      <w:r w:rsidRPr="002E3F78">
        <w:rPr>
          <w:rFonts w:ascii="Times New Roman" w:hAnsi="Times New Roman" w:cs="Times New Roman"/>
          <w:sz w:val="24"/>
          <w:szCs w:val="24"/>
        </w:rPr>
        <w:t>The proposal must address all requirements of the application.</w:t>
      </w:r>
    </w:p>
    <w:p w14:paraId="431B72D1" w14:textId="77777777" w:rsidR="002E3F78" w:rsidRPr="002E3F78" w:rsidRDefault="002E3F78" w:rsidP="002E3F78">
      <w:pPr>
        <w:numPr>
          <w:ilvl w:val="0"/>
          <w:numId w:val="3"/>
        </w:numPr>
        <w:spacing w:after="0" w:line="252" w:lineRule="auto"/>
      </w:pPr>
      <w:r w:rsidRPr="002E3F78">
        <w:rPr>
          <w:rFonts w:ascii="Times New Roman" w:hAnsi="Times New Roman" w:cs="Times New Roman"/>
          <w:sz w:val="24"/>
          <w:szCs w:val="24"/>
        </w:rPr>
        <w:t>The proposal should explain how the scholarly work to be presented meets the expectations of your discipline/department.</w:t>
      </w:r>
    </w:p>
    <w:p w14:paraId="0F109E9C" w14:textId="194BC368" w:rsidR="002E3F78" w:rsidRPr="002E3F78" w:rsidRDefault="002E3F78" w:rsidP="002E3F78">
      <w:pPr>
        <w:numPr>
          <w:ilvl w:val="0"/>
          <w:numId w:val="3"/>
        </w:numPr>
        <w:spacing w:after="0" w:line="252" w:lineRule="auto"/>
      </w:pPr>
      <w:r w:rsidRPr="002E3F78">
        <w:rPr>
          <w:rFonts w:ascii="Times New Roman" w:hAnsi="Times New Roman" w:cs="Times New Roman"/>
          <w:sz w:val="24"/>
          <w:szCs w:val="24"/>
        </w:rPr>
        <w:t xml:space="preserve">The degree to which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3F78">
        <w:rPr>
          <w:rFonts w:ascii="Times New Roman" w:hAnsi="Times New Roman" w:cs="Times New Roman"/>
          <w:sz w:val="24"/>
          <w:szCs w:val="24"/>
        </w:rPr>
        <w:t>proposal places the material to be presented in the larger context of its field, incorporating citations to professional literature as appropriate, in a way that is accessible to individuals both inside and outside of its field.</w:t>
      </w:r>
    </w:p>
    <w:p w14:paraId="0BA1829E" w14:textId="77777777" w:rsidR="002E3F78" w:rsidRPr="002E3F78" w:rsidRDefault="002E3F78" w:rsidP="002E3F78">
      <w:pPr>
        <w:numPr>
          <w:ilvl w:val="0"/>
          <w:numId w:val="3"/>
        </w:numPr>
        <w:spacing w:after="0" w:line="252" w:lineRule="auto"/>
      </w:pPr>
      <w:r w:rsidRPr="002E3F78">
        <w:rPr>
          <w:rFonts w:ascii="Times New Roman" w:hAnsi="Times New Roman" w:cs="Times New Roman"/>
          <w:sz w:val="24"/>
          <w:szCs w:val="24"/>
        </w:rPr>
        <w:t>The perceived quality of the research to be presented.</w:t>
      </w:r>
    </w:p>
    <w:p w14:paraId="4E1CA6DD" w14:textId="77777777" w:rsidR="002E3F78" w:rsidRPr="002E3F78" w:rsidRDefault="002E3F78" w:rsidP="002E3F78">
      <w:pPr>
        <w:numPr>
          <w:ilvl w:val="0"/>
          <w:numId w:val="3"/>
        </w:numPr>
        <w:spacing w:line="252" w:lineRule="auto"/>
      </w:pPr>
      <w:r w:rsidRPr="002E3F78">
        <w:rPr>
          <w:rFonts w:ascii="Times New Roman" w:hAnsi="Times New Roman" w:cs="Times New Roman"/>
          <w:sz w:val="24"/>
          <w:szCs w:val="24"/>
        </w:rPr>
        <w:t>The proposal should explain how the presentation would contribute to the individual’s professional development and is part of a coherent, continuous program of scholarship.</w:t>
      </w:r>
    </w:p>
    <w:p w14:paraId="2A587CC0" w14:textId="2F54723E" w:rsidR="0006608F" w:rsidRDefault="0006608F" w:rsidP="002E3F7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 xml:space="preserve">A declined proposal may be resubmitted to future calls. </w:t>
      </w:r>
    </w:p>
    <w:p w14:paraId="1FB6A5AC" w14:textId="77777777" w:rsidR="0006608F" w:rsidRDefault="0006608F" w:rsidP="000660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3CFE7BBF" w14:textId="77777777" w:rsidR="0006608F" w:rsidRDefault="0006608F" w:rsidP="000660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09DE1413" w14:textId="77777777" w:rsidR="0006608F" w:rsidRDefault="0006608F" w:rsidP="0006608F">
      <w:pPr>
        <w:spacing w:after="0"/>
        <w:jc w:val="center"/>
        <w:rPr>
          <w:rFonts w:ascii="Times New Roman" w:eastAsia="Sylfae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Only Electronic Submissions on Qualtrics will be accepted. Proposals must be received by 11:59 p.m. on the due date. Late and/or incomplete applications will not be considered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5E3DAFD3" w14:textId="77777777" w:rsidR="0006608F" w:rsidRDefault="0006608F" w:rsidP="002E3F7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F8F0E2F" w14:textId="77777777" w:rsidR="0006608F" w:rsidRDefault="0006608F" w:rsidP="000660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Link to Qualtrics survey: </w:t>
      </w:r>
    </w:p>
    <w:p w14:paraId="68A58921" w14:textId="6E51D99A" w:rsidR="0006608F" w:rsidRDefault="0006608F" w:rsidP="0006608F">
      <w:pPr>
        <w:spacing w:after="0"/>
        <w:jc w:val="center"/>
        <w:rPr>
          <w:rFonts w:ascii="Helvetica" w:hAnsi="Helvetica" w:cs="Helvetica"/>
          <w:color w:val="000000"/>
          <w:sz w:val="27"/>
          <w:szCs w:val="27"/>
        </w:rPr>
      </w:pPr>
      <w:hyperlink r:id="rId8" w:history="1">
        <w:r w:rsidRPr="00F90159">
          <w:rPr>
            <w:rStyle w:val="Hyperlink"/>
            <w:rFonts w:ascii="Helvetica" w:hAnsi="Helvetica" w:cs="Helvetica"/>
            <w:sz w:val="27"/>
            <w:szCs w:val="27"/>
          </w:rPr>
          <w:t>https://uwgreenbay.ca1.qualtrics.com/jfe/form/SV_cSkBipyVignoSns</w:t>
        </w:r>
      </w:hyperlink>
    </w:p>
    <w:p w14:paraId="2E202DCA" w14:textId="77777777" w:rsidR="0006608F" w:rsidRDefault="0006608F" w:rsidP="0006608F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3897D05" w14:textId="77777777" w:rsidR="0006608F" w:rsidRDefault="0006608F" w:rsidP="0006608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QUESTIONS? Please contact, Research Council (</w:t>
      </w:r>
      <w:hyperlink r:id="rId9" w:history="1">
        <w:r>
          <w:rPr>
            <w:rStyle w:val="Hyperlink"/>
            <w:rFonts w:ascii="Times New Roman" w:eastAsia="Calibri" w:hAnsi="Times New Roman" w:cs="Times New Roman"/>
            <w:b/>
            <w:bCs/>
            <w:sz w:val="28"/>
            <w:szCs w:val="28"/>
          </w:rPr>
          <w:t>rcgrants@uwgb.edu</w:t>
        </w:r>
      </w:hyperlink>
      <w: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) </w:t>
      </w:r>
    </w:p>
    <w:p w14:paraId="6C8DEC1A" w14:textId="77777777" w:rsidR="0006608F" w:rsidRDefault="0006608F" w:rsidP="0006608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</w:p>
    <w:p w14:paraId="1BA77FA2" w14:textId="76E47BFA" w:rsidR="0006608F" w:rsidRDefault="0006608F" w:rsidP="0006608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202</w:t>
      </w:r>
      <w:r w:rsidR="00CA4ABB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4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- 202</w:t>
      </w:r>
      <w:r w:rsidR="00CA4ABB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Research Council Members</w:t>
      </w:r>
    </w:p>
    <w:p w14:paraId="03D829C5" w14:textId="5EEEDA7B" w:rsidR="0006608F" w:rsidRDefault="0006608F" w:rsidP="0006608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Brian Welsch, chair; Julialicia Case; </w:t>
      </w:r>
      <w:r w:rsidR="00CA4ABB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Kiel Nikolakakis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;  </w:t>
      </w:r>
    </w:p>
    <w:p w14:paraId="1CC15CB6" w14:textId="5123974E" w:rsidR="007E5EA4" w:rsidRPr="002E3F78" w:rsidRDefault="0006608F" w:rsidP="002E3F78">
      <w:pPr>
        <w:spacing w:after="0"/>
        <w:jc w:val="center"/>
        <w:rPr>
          <w:rFonts w:ascii="Times New Roman" w:eastAsia="Calibri" w:hAnsi="Times New Roman" w:cs="Times New Roman"/>
          <w:color w:val="0563C1" w:themeColor="hyperlink"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Md Tarique Newaz</w:t>
      </w:r>
      <w:r>
        <w:rPr>
          <w:rStyle w:val="Hyperlink"/>
          <w:rFonts w:ascii="Times New Roman" w:eastAsia="Calibri" w:hAnsi="Times New Roman" w:cs="Times New Roman"/>
          <w:color w:val="auto"/>
          <w:sz w:val="23"/>
          <w:szCs w:val="23"/>
          <w:u w:val="none"/>
        </w:rPr>
        <w:t xml:space="preserve">;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on Shelton; Roger Wareham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>ex-officio</w:t>
      </w:r>
    </w:p>
    <w:sectPr w:rsidR="007E5EA4" w:rsidRPr="002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181"/>
    <w:multiLevelType w:val="hybridMultilevel"/>
    <w:tmpl w:val="318041BA"/>
    <w:lvl w:ilvl="0" w:tplc="F0D6CEEA">
      <w:start w:val="1"/>
      <w:numFmt w:val="decimal"/>
      <w:lvlText w:val="%1."/>
      <w:lvlJc w:val="left"/>
      <w:pPr>
        <w:ind w:left="720" w:hanging="360"/>
      </w:pPr>
    </w:lvl>
    <w:lvl w:ilvl="1" w:tplc="893AFFAA">
      <w:start w:val="1"/>
      <w:numFmt w:val="lowerLetter"/>
      <w:lvlText w:val="%2."/>
      <w:lvlJc w:val="left"/>
      <w:pPr>
        <w:ind w:left="1440" w:hanging="360"/>
      </w:pPr>
    </w:lvl>
    <w:lvl w:ilvl="2" w:tplc="D42667FC">
      <w:start w:val="1"/>
      <w:numFmt w:val="lowerRoman"/>
      <w:lvlText w:val="%3."/>
      <w:lvlJc w:val="right"/>
      <w:pPr>
        <w:ind w:left="2160" w:hanging="180"/>
      </w:pPr>
    </w:lvl>
    <w:lvl w:ilvl="3" w:tplc="B7269C64">
      <w:start w:val="1"/>
      <w:numFmt w:val="decimal"/>
      <w:lvlText w:val="%4."/>
      <w:lvlJc w:val="left"/>
      <w:pPr>
        <w:ind w:left="2880" w:hanging="360"/>
      </w:pPr>
    </w:lvl>
    <w:lvl w:ilvl="4" w:tplc="12EAFBF6">
      <w:start w:val="1"/>
      <w:numFmt w:val="lowerLetter"/>
      <w:lvlText w:val="%5."/>
      <w:lvlJc w:val="left"/>
      <w:pPr>
        <w:ind w:left="3600" w:hanging="360"/>
      </w:pPr>
    </w:lvl>
    <w:lvl w:ilvl="5" w:tplc="920A31EC">
      <w:start w:val="1"/>
      <w:numFmt w:val="lowerRoman"/>
      <w:lvlText w:val="%6."/>
      <w:lvlJc w:val="right"/>
      <w:pPr>
        <w:ind w:left="4320" w:hanging="180"/>
      </w:pPr>
    </w:lvl>
    <w:lvl w:ilvl="6" w:tplc="B994E332">
      <w:start w:val="1"/>
      <w:numFmt w:val="decimal"/>
      <w:lvlText w:val="%7."/>
      <w:lvlJc w:val="left"/>
      <w:pPr>
        <w:ind w:left="5040" w:hanging="360"/>
      </w:pPr>
    </w:lvl>
    <w:lvl w:ilvl="7" w:tplc="9D2E7E66">
      <w:start w:val="1"/>
      <w:numFmt w:val="lowerLetter"/>
      <w:lvlText w:val="%8."/>
      <w:lvlJc w:val="left"/>
      <w:pPr>
        <w:ind w:left="5760" w:hanging="360"/>
      </w:pPr>
    </w:lvl>
    <w:lvl w:ilvl="8" w:tplc="7BCCE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7942"/>
    <w:multiLevelType w:val="hybridMultilevel"/>
    <w:tmpl w:val="7D104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44E01"/>
    <w:multiLevelType w:val="multilevel"/>
    <w:tmpl w:val="761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D0AE4"/>
    <w:multiLevelType w:val="hybridMultilevel"/>
    <w:tmpl w:val="ED44CAF2"/>
    <w:lvl w:ilvl="0" w:tplc="29A29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18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941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6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070A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4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98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09605">
    <w:abstractNumId w:val="3"/>
  </w:num>
  <w:num w:numId="2" w16cid:durableId="781535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34427">
    <w:abstractNumId w:val="1"/>
  </w:num>
  <w:num w:numId="4" w16cid:durableId="93559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CE"/>
    <w:rsid w:val="0001674A"/>
    <w:rsid w:val="0006608F"/>
    <w:rsid w:val="000A4005"/>
    <w:rsid w:val="000D61CE"/>
    <w:rsid w:val="001F32C3"/>
    <w:rsid w:val="00205774"/>
    <w:rsid w:val="00291FF5"/>
    <w:rsid w:val="002E3F78"/>
    <w:rsid w:val="00587D30"/>
    <w:rsid w:val="00600E70"/>
    <w:rsid w:val="00677C46"/>
    <w:rsid w:val="00680161"/>
    <w:rsid w:val="00680C8D"/>
    <w:rsid w:val="0071171F"/>
    <w:rsid w:val="00726BFA"/>
    <w:rsid w:val="007B623D"/>
    <w:rsid w:val="007E5EA4"/>
    <w:rsid w:val="00881026"/>
    <w:rsid w:val="008C4787"/>
    <w:rsid w:val="008E3FFF"/>
    <w:rsid w:val="009F4411"/>
    <w:rsid w:val="00A2571F"/>
    <w:rsid w:val="00A50E39"/>
    <w:rsid w:val="00A923EB"/>
    <w:rsid w:val="00B00BDC"/>
    <w:rsid w:val="00BD3987"/>
    <w:rsid w:val="00BF464D"/>
    <w:rsid w:val="00BF520C"/>
    <w:rsid w:val="00CA4ABB"/>
    <w:rsid w:val="00CB6916"/>
    <w:rsid w:val="00CD4040"/>
    <w:rsid w:val="00D45D19"/>
    <w:rsid w:val="00D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C6045"/>
  <w15:chartTrackingRefBased/>
  <w15:docId w15:val="{FA4763A1-25C9-497B-90E2-BD24C1B2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8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0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0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0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AB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C8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C8D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50E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greenbay.ca1.qualtrics.com/jfe/form/SV_cSkBipyVignoS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gb.edu/controller/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gb.edu/purchasing/policies-procedur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wgb.edu/research-council/funding-opportunities/research-pilot-progra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grants@uwg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4273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McKinley</dc:creator>
  <cp:keywords/>
  <dc:description/>
  <cp:lastModifiedBy>Lentz, McKinley</cp:lastModifiedBy>
  <cp:revision>3</cp:revision>
  <dcterms:created xsi:type="dcterms:W3CDTF">2024-12-17T21:56:00Z</dcterms:created>
  <dcterms:modified xsi:type="dcterms:W3CDTF">2024-12-18T14:20:00Z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f19f6ee05d0b5a949cf386fae5a725ecc17f7062c32f27a6a1a045bbb83c22e1</vt:lpwstr>
  </property>
</Properties>
</file>